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B1E48" w14:textId="03139A3D" w:rsidR="001D37B5" w:rsidRDefault="007F17AC" w:rsidP="001D37B5">
      <w:pPr>
        <w:spacing w:after="0"/>
        <w:ind w:left="-284" w:right="-448"/>
        <w:rPr>
          <w:b/>
          <w:sz w:val="28"/>
          <w:szCs w:val="28"/>
          <w:u w:val="single"/>
        </w:rPr>
      </w:pPr>
      <w:r w:rsidRPr="009328B3">
        <w:rPr>
          <w:b/>
          <w:sz w:val="28"/>
          <w:szCs w:val="28"/>
          <w:u w:val="single"/>
        </w:rPr>
        <w:t>Rent (</w:t>
      </w:r>
      <w:r w:rsidR="004F6030">
        <w:rPr>
          <w:b/>
          <w:sz w:val="28"/>
          <w:szCs w:val="28"/>
          <w:u w:val="single"/>
        </w:rPr>
        <w:t>NT</w:t>
      </w:r>
      <w:r w:rsidRPr="009328B3">
        <w:rPr>
          <w:b/>
          <w:sz w:val="28"/>
          <w:szCs w:val="28"/>
          <w:u w:val="single"/>
        </w:rPr>
        <w:t>)</w:t>
      </w:r>
      <w:r w:rsidR="0093041B" w:rsidRPr="009328B3">
        <w:rPr>
          <w:b/>
          <w:sz w:val="28"/>
          <w:szCs w:val="28"/>
          <w:u w:val="single"/>
        </w:rPr>
        <w:t xml:space="preserve"> Action Definition</w:t>
      </w:r>
    </w:p>
    <w:p w14:paraId="34958C05" w14:textId="2C3EB458" w:rsidR="009328B3" w:rsidRPr="009328B3" w:rsidRDefault="009328B3" w:rsidP="001D37B5">
      <w:pPr>
        <w:ind w:left="-284" w:right="-449"/>
        <w:rPr>
          <w:sz w:val="24"/>
          <w:szCs w:val="24"/>
        </w:rPr>
      </w:pPr>
      <w:r w:rsidRPr="009328B3">
        <w:rPr>
          <w:sz w:val="24"/>
          <w:szCs w:val="24"/>
        </w:rPr>
        <w:t>This action definition describes t</w:t>
      </w:r>
      <w:r w:rsidR="006C17FE">
        <w:rPr>
          <w:sz w:val="24"/>
          <w:szCs w:val="24"/>
        </w:rPr>
        <w:t>he process for paying Rent in NT</w:t>
      </w:r>
      <w:r w:rsidRPr="009328B3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8E4788" w:rsidRPr="009328B3" w14:paraId="3B219B0E" w14:textId="77777777" w:rsidTr="008E4788">
        <w:tc>
          <w:tcPr>
            <w:tcW w:w="3369" w:type="dxa"/>
          </w:tcPr>
          <w:p w14:paraId="682969D1" w14:textId="77777777" w:rsidR="008E4788" w:rsidRPr="009328B3" w:rsidRDefault="008E4788" w:rsidP="00C85E2E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17CD5424" w14:textId="77777777" w:rsidR="008E4788" w:rsidRPr="009328B3" w:rsidRDefault="008E4788" w:rsidP="00C85E2E">
            <w:pPr>
              <w:rPr>
                <w:sz w:val="24"/>
                <w:szCs w:val="24"/>
              </w:rPr>
            </w:pPr>
          </w:p>
        </w:tc>
      </w:tr>
    </w:tbl>
    <w:p w14:paraId="134647D9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p w14:paraId="0A3F088E" w14:textId="77777777" w:rsidR="009328B3" w:rsidRPr="009328B3" w:rsidRDefault="009328B3" w:rsidP="009328B3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0944" w:type="dxa"/>
        <w:tblInd w:w="-176" w:type="dxa"/>
        <w:tblLook w:val="04A0" w:firstRow="1" w:lastRow="0" w:firstColumn="1" w:lastColumn="0" w:noHBand="0" w:noVBand="1"/>
      </w:tblPr>
      <w:tblGrid>
        <w:gridCol w:w="3392"/>
        <w:gridCol w:w="11"/>
        <w:gridCol w:w="1476"/>
        <w:gridCol w:w="6065"/>
      </w:tblGrid>
      <w:tr w:rsidR="00B340AC" w:rsidRPr="009328B3" w14:paraId="10F16D40" w14:textId="77777777" w:rsidTr="002133B8">
        <w:tc>
          <w:tcPr>
            <w:tcW w:w="10944" w:type="dxa"/>
            <w:gridSpan w:val="4"/>
            <w:shd w:val="pct15" w:color="auto" w:fill="auto"/>
          </w:tcPr>
          <w:p w14:paraId="2F37F652" w14:textId="77777777" w:rsidR="00B340AC" w:rsidRPr="009328B3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C30241" w:rsidRPr="009328B3">
              <w:rPr>
                <w:b/>
                <w:sz w:val="24"/>
                <w:szCs w:val="24"/>
              </w:rPr>
              <w:t>Trigger</w:t>
            </w:r>
          </w:p>
        </w:tc>
      </w:tr>
      <w:tr w:rsidR="00985509" w:rsidRPr="009328B3" w14:paraId="3AC85498" w14:textId="77777777" w:rsidTr="002133B8">
        <w:tc>
          <w:tcPr>
            <w:tcW w:w="3392" w:type="dxa"/>
          </w:tcPr>
          <w:p w14:paraId="18F8F257" w14:textId="77777777" w:rsidR="00985509" w:rsidRPr="009328B3" w:rsidRDefault="00C477EB" w:rsidP="00165FBA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Asset</w:t>
            </w:r>
            <w:r w:rsidR="00985509" w:rsidRPr="009328B3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552" w:type="dxa"/>
            <w:gridSpan w:val="3"/>
            <w:shd w:val="clear" w:color="auto" w:fill="D6E3BC" w:themeFill="accent3" w:themeFillTint="66"/>
          </w:tcPr>
          <w:p w14:paraId="2175AF07" w14:textId="77777777" w:rsidR="00985509" w:rsidRPr="009328B3" w:rsidRDefault="00985509" w:rsidP="00165FBA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Tenement</w:t>
            </w:r>
          </w:p>
        </w:tc>
      </w:tr>
      <w:tr w:rsidR="004E25E9" w:rsidRPr="009328B3" w14:paraId="6B5456F4" w14:textId="77777777" w:rsidTr="002133B8">
        <w:tc>
          <w:tcPr>
            <w:tcW w:w="3392" w:type="dxa"/>
          </w:tcPr>
          <w:p w14:paraId="326215C6" w14:textId="77777777" w:rsidR="004E25E9" w:rsidRPr="009328B3" w:rsidRDefault="004E25E9" w:rsidP="00212C49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 xml:space="preserve">Action </w:t>
            </w:r>
            <w:r w:rsidR="00212C49" w:rsidRPr="009328B3">
              <w:rPr>
                <w:b/>
                <w:sz w:val="24"/>
                <w:szCs w:val="24"/>
              </w:rPr>
              <w:t>Name</w:t>
            </w:r>
            <w:r w:rsidR="003C6C1D" w:rsidRPr="009328B3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552" w:type="dxa"/>
            <w:gridSpan w:val="3"/>
            <w:shd w:val="clear" w:color="auto" w:fill="D6E3BC" w:themeFill="accent3" w:themeFillTint="66"/>
          </w:tcPr>
          <w:p w14:paraId="77EA1C80" w14:textId="77777777" w:rsidR="004E25E9" w:rsidRPr="009328B3" w:rsidRDefault="004E25E9" w:rsidP="00431E89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Rent</w:t>
            </w:r>
          </w:p>
        </w:tc>
      </w:tr>
      <w:tr w:rsidR="004E25E9" w:rsidRPr="009328B3" w14:paraId="516D40BD" w14:textId="77777777" w:rsidTr="002133B8">
        <w:tc>
          <w:tcPr>
            <w:tcW w:w="3392" w:type="dxa"/>
          </w:tcPr>
          <w:p w14:paraId="1D98C39B" w14:textId="77777777" w:rsidR="004E25E9" w:rsidRPr="009328B3" w:rsidRDefault="004E25E9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552" w:type="dxa"/>
            <w:gridSpan w:val="3"/>
            <w:shd w:val="clear" w:color="auto" w:fill="D6E3BC" w:themeFill="accent3" w:themeFillTint="66"/>
          </w:tcPr>
          <w:p w14:paraId="0894D99E" w14:textId="084C87AC" w:rsidR="004E25E9" w:rsidRPr="009328B3" w:rsidRDefault="00A917A7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{</w:t>
            </w:r>
            <w:r w:rsidR="00D213FE" w:rsidRPr="009328B3">
              <w:rPr>
                <w:sz w:val="24"/>
                <w:szCs w:val="24"/>
              </w:rPr>
              <w:t>s</w:t>
            </w:r>
            <w:r w:rsidR="004E25E9" w:rsidRPr="009328B3">
              <w:rPr>
                <w:sz w:val="24"/>
                <w:szCs w:val="24"/>
              </w:rPr>
              <w:t>tatus</w:t>
            </w:r>
            <w:r w:rsidRPr="009328B3">
              <w:rPr>
                <w:sz w:val="24"/>
                <w:szCs w:val="24"/>
              </w:rPr>
              <w:t>}</w:t>
            </w:r>
            <w:r w:rsidR="004E25E9" w:rsidRPr="009328B3">
              <w:rPr>
                <w:sz w:val="24"/>
                <w:szCs w:val="24"/>
              </w:rPr>
              <w:t xml:space="preserve"> = Live</w:t>
            </w:r>
            <w:r w:rsidR="00574F92">
              <w:rPr>
                <w:rStyle w:val="FootnoteReference"/>
                <w:sz w:val="24"/>
                <w:szCs w:val="24"/>
              </w:rPr>
              <w:footnoteReference w:id="2"/>
            </w:r>
          </w:p>
        </w:tc>
      </w:tr>
      <w:tr w:rsidR="00F01090" w:rsidRPr="00D330B0" w14:paraId="053FB661" w14:textId="77777777" w:rsidTr="002133B8">
        <w:tc>
          <w:tcPr>
            <w:tcW w:w="3403" w:type="dxa"/>
            <w:gridSpan w:val="2"/>
          </w:tcPr>
          <w:p w14:paraId="6759714B" w14:textId="77777777" w:rsidR="00F01090" w:rsidRPr="001051DD" w:rsidRDefault="00F01090" w:rsidP="00DC3A6E">
            <w:pPr>
              <w:jc w:val="right"/>
              <w:rPr>
                <w:b/>
                <w:sz w:val="24"/>
                <w:szCs w:val="24"/>
              </w:rPr>
            </w:pPr>
            <w:r w:rsidRPr="001051DD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541" w:type="dxa"/>
            <w:gridSpan w:val="2"/>
            <w:shd w:val="clear" w:color="auto" w:fill="D6E3BC" w:themeFill="accent3" w:themeFillTint="66"/>
          </w:tcPr>
          <w:p w14:paraId="6D5C33E4" w14:textId="77777777" w:rsidR="00F01090" w:rsidRPr="001051DD" w:rsidRDefault="00F01090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1051DD">
              <w:rPr>
                <w:sz w:val="24"/>
                <w:szCs w:val="24"/>
              </w:rPr>
              <w:t>Managed</w:t>
            </w:r>
          </w:p>
        </w:tc>
      </w:tr>
      <w:tr w:rsidR="004E25E9" w:rsidRPr="009328B3" w14:paraId="7DAA8B67" w14:textId="77777777" w:rsidTr="002133B8">
        <w:tc>
          <w:tcPr>
            <w:tcW w:w="3392" w:type="dxa"/>
          </w:tcPr>
          <w:p w14:paraId="78446726" w14:textId="77777777" w:rsidR="004E25E9" w:rsidRPr="009328B3" w:rsidRDefault="00D93FD5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552" w:type="dxa"/>
            <w:gridSpan w:val="3"/>
            <w:shd w:val="clear" w:color="auto" w:fill="D6E3BC" w:themeFill="accent3" w:themeFillTint="66"/>
          </w:tcPr>
          <w:p w14:paraId="73361AAE" w14:textId="77777777" w:rsidR="004E25E9" w:rsidRPr="009328B3" w:rsidRDefault="00A917A7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Annually</w:t>
            </w:r>
          </w:p>
        </w:tc>
      </w:tr>
      <w:tr w:rsidR="00D27C76" w:rsidRPr="009328B3" w14:paraId="2A4EE800" w14:textId="77777777" w:rsidTr="002133B8">
        <w:tc>
          <w:tcPr>
            <w:tcW w:w="3392" w:type="dxa"/>
          </w:tcPr>
          <w:p w14:paraId="12B2FAE9" w14:textId="77777777" w:rsidR="00D27C76" w:rsidRPr="009328B3" w:rsidRDefault="00D27C76" w:rsidP="00B062D7">
            <w:pPr>
              <w:jc w:val="right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7750864C" w14:textId="77777777" w:rsidR="00D27C76" w:rsidRPr="009328B3" w:rsidRDefault="00D27C76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Anniversary</w:t>
            </w:r>
            <w:r w:rsidR="00C044D7" w:rsidRPr="009328B3">
              <w:footnoteReference w:id="3"/>
            </w:r>
          </w:p>
        </w:tc>
        <w:tc>
          <w:tcPr>
            <w:tcW w:w="6065" w:type="dxa"/>
            <w:shd w:val="clear" w:color="auto" w:fill="D6E3BC" w:themeFill="accent3" w:themeFillTint="66"/>
          </w:tcPr>
          <w:p w14:paraId="673D00A7" w14:textId="77777777" w:rsidR="00D27C76" w:rsidRPr="009328B3" w:rsidRDefault="00D27C76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= {</w:t>
            </w:r>
            <w:proofErr w:type="spellStart"/>
            <w:r w:rsidRPr="009328B3">
              <w:rPr>
                <w:sz w:val="24"/>
                <w:szCs w:val="24"/>
              </w:rPr>
              <w:t>commencementDate</w:t>
            </w:r>
            <w:proofErr w:type="spellEnd"/>
            <w:r w:rsidRPr="009328B3">
              <w:rPr>
                <w:sz w:val="24"/>
                <w:szCs w:val="24"/>
              </w:rPr>
              <w:t>} + {Interval}</w:t>
            </w:r>
          </w:p>
        </w:tc>
      </w:tr>
      <w:tr w:rsidR="00D27C76" w:rsidRPr="009328B3" w14:paraId="7F2207BA" w14:textId="77777777" w:rsidTr="002133B8">
        <w:tc>
          <w:tcPr>
            <w:tcW w:w="3392" w:type="dxa"/>
          </w:tcPr>
          <w:p w14:paraId="30271FF8" w14:textId="77777777" w:rsidR="00D27C76" w:rsidRPr="009328B3" w:rsidRDefault="00D27C76" w:rsidP="00431E89">
            <w:pPr>
              <w:jc w:val="right"/>
              <w:rPr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87" w:type="dxa"/>
            <w:gridSpan w:val="2"/>
            <w:shd w:val="clear" w:color="auto" w:fill="D6E3BC" w:themeFill="accent3" w:themeFillTint="66"/>
          </w:tcPr>
          <w:p w14:paraId="68022A02" w14:textId="77777777" w:rsidR="00D27C76" w:rsidRPr="009328B3" w:rsidRDefault="00D27C76" w:rsidP="009328B3">
            <w:pPr>
              <w:rPr>
                <w:sz w:val="24"/>
                <w:szCs w:val="24"/>
              </w:rPr>
            </w:pPr>
            <w:r w:rsidRPr="009328B3">
              <w:rPr>
                <w:sz w:val="24"/>
                <w:szCs w:val="24"/>
              </w:rPr>
              <w:t>Deadline</w:t>
            </w:r>
            <w:r w:rsidR="00C044D7" w:rsidRPr="009328B3">
              <w:footnoteReference w:id="4"/>
            </w:r>
          </w:p>
        </w:tc>
        <w:tc>
          <w:tcPr>
            <w:tcW w:w="6065" w:type="dxa"/>
            <w:shd w:val="clear" w:color="auto" w:fill="D6E3BC" w:themeFill="accent3" w:themeFillTint="66"/>
          </w:tcPr>
          <w:p w14:paraId="3612826B" w14:textId="5E8B5049" w:rsidR="00D27C76" w:rsidRPr="009328B3" w:rsidRDefault="00CE13DE" w:rsidP="00932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= {Critical Date} - </w:t>
            </w:r>
            <w:r w:rsidR="000A418B">
              <w:rPr>
                <w:sz w:val="24"/>
                <w:szCs w:val="24"/>
              </w:rPr>
              <w:t>30</w:t>
            </w:r>
            <w:r w:rsidR="00D27C76" w:rsidRPr="009328B3">
              <w:rPr>
                <w:sz w:val="24"/>
                <w:szCs w:val="24"/>
              </w:rPr>
              <w:t xml:space="preserve"> days</w:t>
            </w:r>
          </w:p>
        </w:tc>
      </w:tr>
    </w:tbl>
    <w:p w14:paraId="431C3DBF" w14:textId="77777777" w:rsidR="00555AA8" w:rsidRPr="009328B3" w:rsidRDefault="00555AA8" w:rsidP="009328B3">
      <w:pPr>
        <w:spacing w:after="12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094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5274"/>
        <w:gridCol w:w="2976"/>
      </w:tblGrid>
      <w:tr w:rsidR="007938C3" w:rsidRPr="009328B3" w14:paraId="2E993983" w14:textId="77777777" w:rsidTr="002133B8">
        <w:tc>
          <w:tcPr>
            <w:tcW w:w="109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79A41A" w14:textId="77777777" w:rsidR="007938C3" w:rsidRPr="009328B3" w:rsidRDefault="007938C3" w:rsidP="00165FBA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Applies To</w:t>
            </w:r>
          </w:p>
        </w:tc>
      </w:tr>
      <w:tr w:rsidR="00985509" w:rsidRPr="009328B3" w14:paraId="5982455C" w14:textId="77777777" w:rsidTr="002133B8">
        <w:tc>
          <w:tcPr>
            <w:tcW w:w="2694" w:type="dxa"/>
            <w:shd w:val="clear" w:color="auto" w:fill="D9D9D9" w:themeFill="background1" w:themeFillShade="D9"/>
          </w:tcPr>
          <w:p w14:paraId="474015AE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bookmarkStart w:id="0" w:name="_Hlk429579419"/>
            <w:r w:rsidRPr="009328B3">
              <w:rPr>
                <w:b/>
                <w:sz w:val="24"/>
                <w:szCs w:val="24"/>
              </w:rPr>
              <w:t>Jurisdiction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008C8BCE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Sub Type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2ADC1E47" w14:textId="77777777" w:rsidR="00985509" w:rsidRPr="009328B3" w:rsidRDefault="00985509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Version</w:t>
            </w:r>
          </w:p>
        </w:tc>
      </w:tr>
      <w:bookmarkEnd w:id="0"/>
      <w:tr w:rsidR="00985509" w:rsidRPr="009328B3" w14:paraId="2C68D510" w14:textId="77777777" w:rsidTr="002133B8">
        <w:trPr>
          <w:trHeight w:val="70"/>
        </w:trPr>
        <w:tc>
          <w:tcPr>
            <w:tcW w:w="2694" w:type="dxa"/>
            <w:shd w:val="clear" w:color="auto" w:fill="D6E3BC" w:themeFill="accent3" w:themeFillTint="66"/>
          </w:tcPr>
          <w:p w14:paraId="75ABCF45" w14:textId="77777777" w:rsidR="00985509" w:rsidRPr="009328B3" w:rsidRDefault="00CE13DE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  <w:tc>
          <w:tcPr>
            <w:tcW w:w="5274" w:type="dxa"/>
            <w:shd w:val="clear" w:color="auto" w:fill="D6E3BC" w:themeFill="accent3" w:themeFillTint="66"/>
          </w:tcPr>
          <w:p w14:paraId="5B3B815A" w14:textId="1DD07FFE" w:rsidR="00985509" w:rsidRPr="009328B3" w:rsidRDefault="00CE13DE" w:rsidP="00165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Mineral </w:t>
            </w:r>
            <w:r w:rsidR="00985509" w:rsidRPr="009328B3">
              <w:rPr>
                <w:sz w:val="24"/>
                <w:szCs w:val="24"/>
              </w:rPr>
              <w:t>Exploration Licence</w:t>
            </w:r>
          </w:p>
        </w:tc>
        <w:tc>
          <w:tcPr>
            <w:tcW w:w="2976" w:type="dxa"/>
            <w:shd w:val="clear" w:color="auto" w:fill="D6E3BC" w:themeFill="accent3" w:themeFillTint="66"/>
          </w:tcPr>
          <w:p w14:paraId="14DE3A22" w14:textId="473B5BBB" w:rsidR="00985509" w:rsidRPr="009328B3" w:rsidRDefault="00985509" w:rsidP="00165FBA">
            <w:pPr>
              <w:rPr>
                <w:sz w:val="24"/>
                <w:szCs w:val="24"/>
              </w:rPr>
            </w:pPr>
          </w:p>
        </w:tc>
      </w:tr>
      <w:tr w:rsidR="00CE13DE" w:rsidRPr="009328B3" w14:paraId="7F682BE8" w14:textId="77777777" w:rsidTr="002133B8">
        <w:tc>
          <w:tcPr>
            <w:tcW w:w="2694" w:type="dxa"/>
            <w:shd w:val="clear" w:color="auto" w:fill="D6E3BC" w:themeFill="accent3" w:themeFillTint="66"/>
          </w:tcPr>
          <w:p w14:paraId="00B46E39" w14:textId="77777777" w:rsidR="00CE13DE" w:rsidRPr="004F6030" w:rsidRDefault="00CE13DE" w:rsidP="00CE13DE">
            <w:pPr>
              <w:rPr>
                <w:sz w:val="24"/>
                <w:szCs w:val="24"/>
              </w:rPr>
            </w:pPr>
            <w:r w:rsidRPr="00AE6B0B">
              <w:rPr>
                <w:sz w:val="24"/>
                <w:szCs w:val="24"/>
              </w:rPr>
              <w:t>NT</w:t>
            </w:r>
          </w:p>
        </w:tc>
        <w:tc>
          <w:tcPr>
            <w:tcW w:w="5274" w:type="dxa"/>
            <w:shd w:val="clear" w:color="auto" w:fill="D6E3BC" w:themeFill="accent3" w:themeFillTint="66"/>
          </w:tcPr>
          <w:p w14:paraId="24F51FE1" w14:textId="170FB7A9" w:rsidR="00CE13DE" w:rsidRPr="009328B3" w:rsidRDefault="00CE13DE" w:rsidP="00CE13DE">
            <w:pPr>
              <w:rPr>
                <w:sz w:val="24"/>
                <w:szCs w:val="24"/>
              </w:rPr>
            </w:pPr>
            <w:r w:rsidRPr="004F6030">
              <w:rPr>
                <w:sz w:val="24"/>
                <w:szCs w:val="24"/>
              </w:rPr>
              <w:t>Mineral Explor</w:t>
            </w:r>
            <w:r w:rsidR="001F56C5">
              <w:rPr>
                <w:sz w:val="24"/>
                <w:szCs w:val="24"/>
              </w:rPr>
              <w:t>ation Licence in Retention</w:t>
            </w:r>
          </w:p>
        </w:tc>
        <w:tc>
          <w:tcPr>
            <w:tcW w:w="2976" w:type="dxa"/>
            <w:shd w:val="clear" w:color="auto" w:fill="D6E3BC" w:themeFill="accent3" w:themeFillTint="66"/>
          </w:tcPr>
          <w:p w14:paraId="6AD4C3CB" w14:textId="77777777" w:rsidR="00CE13DE" w:rsidRPr="009328B3" w:rsidRDefault="00CE13DE" w:rsidP="00CE13DE">
            <w:pPr>
              <w:rPr>
                <w:sz w:val="24"/>
                <w:szCs w:val="24"/>
              </w:rPr>
            </w:pPr>
          </w:p>
        </w:tc>
      </w:tr>
      <w:tr w:rsidR="00CE13DE" w:rsidRPr="009328B3" w14:paraId="34284AD1" w14:textId="77777777" w:rsidTr="002133B8">
        <w:tc>
          <w:tcPr>
            <w:tcW w:w="2694" w:type="dxa"/>
            <w:shd w:val="clear" w:color="auto" w:fill="D6E3BC" w:themeFill="accent3" w:themeFillTint="66"/>
          </w:tcPr>
          <w:p w14:paraId="25FDC221" w14:textId="77777777" w:rsidR="00CE13DE" w:rsidRPr="004F6030" w:rsidRDefault="00CE13DE" w:rsidP="00CE13DE">
            <w:pPr>
              <w:rPr>
                <w:sz w:val="24"/>
                <w:szCs w:val="24"/>
              </w:rPr>
            </w:pPr>
            <w:r w:rsidRPr="00AE6B0B">
              <w:rPr>
                <w:sz w:val="24"/>
                <w:szCs w:val="24"/>
              </w:rPr>
              <w:t>NT</w:t>
            </w:r>
          </w:p>
        </w:tc>
        <w:tc>
          <w:tcPr>
            <w:tcW w:w="5274" w:type="dxa"/>
            <w:shd w:val="clear" w:color="auto" w:fill="D6E3BC" w:themeFill="accent3" w:themeFillTint="66"/>
          </w:tcPr>
          <w:p w14:paraId="130D2B75" w14:textId="10895184" w:rsidR="00CE13DE" w:rsidRPr="004F6030" w:rsidRDefault="00CE13DE" w:rsidP="00CE13DE">
            <w:pPr>
              <w:rPr>
                <w:sz w:val="24"/>
                <w:szCs w:val="24"/>
              </w:rPr>
            </w:pPr>
            <w:r w:rsidRPr="004F6030">
              <w:rPr>
                <w:sz w:val="24"/>
                <w:szCs w:val="24"/>
              </w:rPr>
              <w:t>Extractive Mi</w:t>
            </w:r>
            <w:r w:rsidR="001F56C5">
              <w:rPr>
                <w:sz w:val="24"/>
                <w:szCs w:val="24"/>
              </w:rPr>
              <w:t>neral Exploration Licence</w:t>
            </w:r>
          </w:p>
        </w:tc>
        <w:tc>
          <w:tcPr>
            <w:tcW w:w="2976" w:type="dxa"/>
            <w:shd w:val="clear" w:color="auto" w:fill="D6E3BC" w:themeFill="accent3" w:themeFillTint="66"/>
          </w:tcPr>
          <w:p w14:paraId="7B48D535" w14:textId="77777777" w:rsidR="00CE13DE" w:rsidRPr="00065DDC" w:rsidRDefault="00CE13DE" w:rsidP="00CE13DE">
            <w:pPr>
              <w:rPr>
                <w:sz w:val="24"/>
                <w:szCs w:val="24"/>
                <w:highlight w:val="yellow"/>
              </w:rPr>
            </w:pPr>
          </w:p>
        </w:tc>
      </w:tr>
      <w:tr w:rsidR="00CE13DE" w:rsidRPr="009328B3" w14:paraId="4EC333DB" w14:textId="77777777" w:rsidTr="002133B8">
        <w:tc>
          <w:tcPr>
            <w:tcW w:w="2694" w:type="dxa"/>
            <w:shd w:val="clear" w:color="auto" w:fill="D6E3BC" w:themeFill="accent3" w:themeFillTint="66"/>
          </w:tcPr>
          <w:p w14:paraId="08CAF172" w14:textId="77777777" w:rsidR="00CE13DE" w:rsidRPr="004F6030" w:rsidRDefault="00CE13DE" w:rsidP="00CE13DE">
            <w:pPr>
              <w:rPr>
                <w:sz w:val="24"/>
                <w:szCs w:val="24"/>
              </w:rPr>
            </w:pPr>
            <w:r w:rsidRPr="00AE6B0B">
              <w:rPr>
                <w:sz w:val="24"/>
                <w:szCs w:val="24"/>
              </w:rPr>
              <w:t>NT</w:t>
            </w:r>
          </w:p>
        </w:tc>
        <w:tc>
          <w:tcPr>
            <w:tcW w:w="5274" w:type="dxa"/>
            <w:shd w:val="clear" w:color="auto" w:fill="D6E3BC" w:themeFill="accent3" w:themeFillTint="66"/>
          </w:tcPr>
          <w:p w14:paraId="6C9D5AC2" w14:textId="7FD8C903" w:rsidR="00CE13DE" w:rsidRPr="004F6030" w:rsidRDefault="001F56C5" w:rsidP="004F60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Extractive Mineral Lease</w:t>
            </w:r>
          </w:p>
        </w:tc>
        <w:tc>
          <w:tcPr>
            <w:tcW w:w="2976" w:type="dxa"/>
            <w:shd w:val="clear" w:color="auto" w:fill="D6E3BC" w:themeFill="accent3" w:themeFillTint="66"/>
          </w:tcPr>
          <w:p w14:paraId="6BAFB517" w14:textId="77777777" w:rsidR="00CE13DE" w:rsidRPr="00065DDC" w:rsidRDefault="00CE13DE" w:rsidP="00CE13DE">
            <w:pPr>
              <w:rPr>
                <w:sz w:val="24"/>
                <w:szCs w:val="24"/>
                <w:highlight w:val="yellow"/>
              </w:rPr>
            </w:pPr>
          </w:p>
        </w:tc>
      </w:tr>
      <w:tr w:rsidR="00CE13DE" w:rsidRPr="009328B3" w14:paraId="369F9D20" w14:textId="77777777" w:rsidTr="002133B8">
        <w:tc>
          <w:tcPr>
            <w:tcW w:w="2694" w:type="dxa"/>
            <w:shd w:val="clear" w:color="auto" w:fill="D6E3BC" w:themeFill="accent3" w:themeFillTint="66"/>
          </w:tcPr>
          <w:p w14:paraId="31A9462E" w14:textId="77777777" w:rsidR="00CE13DE" w:rsidRPr="004F6030" w:rsidRDefault="00CE13DE" w:rsidP="00CE13DE">
            <w:pPr>
              <w:rPr>
                <w:sz w:val="24"/>
                <w:szCs w:val="24"/>
              </w:rPr>
            </w:pPr>
            <w:r w:rsidRPr="00AE6B0B">
              <w:rPr>
                <w:sz w:val="24"/>
                <w:szCs w:val="24"/>
              </w:rPr>
              <w:t>NT</w:t>
            </w:r>
          </w:p>
        </w:tc>
        <w:tc>
          <w:tcPr>
            <w:tcW w:w="5274" w:type="dxa"/>
            <w:shd w:val="clear" w:color="auto" w:fill="D6E3BC" w:themeFill="accent3" w:themeFillTint="66"/>
          </w:tcPr>
          <w:p w14:paraId="45F62296" w14:textId="07DF8407" w:rsidR="00CE13DE" w:rsidRPr="004F6030" w:rsidRDefault="001F56C5" w:rsidP="00CE13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Extractive Mineral Permit</w:t>
            </w:r>
          </w:p>
        </w:tc>
        <w:tc>
          <w:tcPr>
            <w:tcW w:w="2976" w:type="dxa"/>
            <w:shd w:val="clear" w:color="auto" w:fill="D6E3BC" w:themeFill="accent3" w:themeFillTint="66"/>
          </w:tcPr>
          <w:p w14:paraId="0E99A019" w14:textId="77777777" w:rsidR="00CE13DE" w:rsidRPr="00065DDC" w:rsidRDefault="00CE13DE" w:rsidP="00CE13DE">
            <w:pPr>
              <w:rPr>
                <w:sz w:val="24"/>
                <w:szCs w:val="24"/>
                <w:highlight w:val="yellow"/>
              </w:rPr>
            </w:pPr>
          </w:p>
        </w:tc>
      </w:tr>
      <w:tr w:rsidR="004F6030" w:rsidRPr="009328B3" w14:paraId="14891D7A" w14:textId="77777777" w:rsidTr="002133B8">
        <w:tc>
          <w:tcPr>
            <w:tcW w:w="2694" w:type="dxa"/>
            <w:shd w:val="clear" w:color="auto" w:fill="D6E3BC" w:themeFill="accent3" w:themeFillTint="66"/>
          </w:tcPr>
          <w:p w14:paraId="245B9763" w14:textId="4B312124" w:rsidR="004F6030" w:rsidRPr="004F6030" w:rsidRDefault="004F6030" w:rsidP="004F6030">
            <w:pPr>
              <w:rPr>
                <w:sz w:val="24"/>
                <w:szCs w:val="24"/>
              </w:rPr>
            </w:pPr>
            <w:r w:rsidRPr="00AE6B0B">
              <w:rPr>
                <w:sz w:val="24"/>
                <w:szCs w:val="24"/>
              </w:rPr>
              <w:t>NT</w:t>
            </w:r>
          </w:p>
        </w:tc>
        <w:tc>
          <w:tcPr>
            <w:tcW w:w="5274" w:type="dxa"/>
            <w:shd w:val="clear" w:color="auto" w:fill="D6E3BC" w:themeFill="accent3" w:themeFillTint="66"/>
          </w:tcPr>
          <w:p w14:paraId="68CB84BC" w14:textId="0CEA9ADC" w:rsidR="004F6030" w:rsidRPr="009328B3" w:rsidRDefault="004F6030" w:rsidP="004F6030">
            <w:pPr>
              <w:rPr>
                <w:sz w:val="24"/>
                <w:szCs w:val="24"/>
              </w:rPr>
            </w:pPr>
            <w:r w:rsidRPr="004F6030">
              <w:rPr>
                <w:sz w:val="24"/>
                <w:szCs w:val="24"/>
              </w:rPr>
              <w:t>Mineral Authority</w:t>
            </w:r>
          </w:p>
        </w:tc>
        <w:tc>
          <w:tcPr>
            <w:tcW w:w="2976" w:type="dxa"/>
            <w:shd w:val="clear" w:color="auto" w:fill="D6E3BC" w:themeFill="accent3" w:themeFillTint="66"/>
          </w:tcPr>
          <w:p w14:paraId="62AFFCFB" w14:textId="5B75A468" w:rsidR="004F6030" w:rsidRPr="009328B3" w:rsidRDefault="004F6030" w:rsidP="004F6030">
            <w:pPr>
              <w:rPr>
                <w:sz w:val="24"/>
                <w:szCs w:val="24"/>
              </w:rPr>
            </w:pPr>
          </w:p>
        </w:tc>
      </w:tr>
      <w:tr w:rsidR="00C66B02" w:rsidRPr="009328B3" w14:paraId="1BF5E998" w14:textId="77777777" w:rsidTr="002133B8">
        <w:tc>
          <w:tcPr>
            <w:tcW w:w="2694" w:type="dxa"/>
            <w:shd w:val="clear" w:color="auto" w:fill="D6E3BC" w:themeFill="accent3" w:themeFillTint="66"/>
          </w:tcPr>
          <w:p w14:paraId="6B3C8132" w14:textId="77777777" w:rsidR="00C66B02" w:rsidRPr="004F6030" w:rsidRDefault="00C66B02" w:rsidP="00C66B02">
            <w:pPr>
              <w:rPr>
                <w:sz w:val="24"/>
                <w:szCs w:val="24"/>
              </w:rPr>
            </w:pPr>
            <w:r w:rsidRPr="00AE6B0B">
              <w:rPr>
                <w:sz w:val="24"/>
                <w:szCs w:val="24"/>
              </w:rPr>
              <w:t>NT</w:t>
            </w:r>
          </w:p>
        </w:tc>
        <w:tc>
          <w:tcPr>
            <w:tcW w:w="5274" w:type="dxa"/>
            <w:shd w:val="clear" w:color="auto" w:fill="D6E3BC" w:themeFill="accent3" w:themeFillTint="66"/>
          </w:tcPr>
          <w:p w14:paraId="0B355DFE" w14:textId="62BCE45F" w:rsidR="00C66B02" w:rsidRPr="004F6030" w:rsidRDefault="00C66B02" w:rsidP="00C66B02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Mining Claim</w:t>
            </w:r>
          </w:p>
        </w:tc>
        <w:tc>
          <w:tcPr>
            <w:tcW w:w="2976" w:type="dxa"/>
            <w:shd w:val="clear" w:color="auto" w:fill="D6E3BC" w:themeFill="accent3" w:themeFillTint="66"/>
          </w:tcPr>
          <w:p w14:paraId="19639272" w14:textId="77777777" w:rsidR="00C66B02" w:rsidRPr="009328B3" w:rsidRDefault="00C66B02" w:rsidP="00C66B02">
            <w:pPr>
              <w:rPr>
                <w:sz w:val="24"/>
                <w:szCs w:val="24"/>
              </w:rPr>
            </w:pPr>
          </w:p>
        </w:tc>
      </w:tr>
      <w:tr w:rsidR="00C66B02" w:rsidRPr="009328B3" w14:paraId="62BE1FA4" w14:textId="77777777" w:rsidTr="002133B8">
        <w:tc>
          <w:tcPr>
            <w:tcW w:w="2694" w:type="dxa"/>
            <w:shd w:val="clear" w:color="auto" w:fill="D6E3BC" w:themeFill="accent3" w:themeFillTint="66"/>
          </w:tcPr>
          <w:p w14:paraId="440F3F50" w14:textId="56C64BF1" w:rsidR="00C66B02" w:rsidRPr="009328B3" w:rsidRDefault="00C66B02" w:rsidP="00C66B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  <w:tc>
          <w:tcPr>
            <w:tcW w:w="5274" w:type="dxa"/>
            <w:shd w:val="clear" w:color="auto" w:fill="D6E3BC" w:themeFill="accent3" w:themeFillTint="66"/>
          </w:tcPr>
          <w:p w14:paraId="17FCCAC3" w14:textId="1536528D" w:rsidR="00C66B02" w:rsidRPr="009328B3" w:rsidRDefault="00C66B02" w:rsidP="00C66B02">
            <w:pPr>
              <w:rPr>
                <w:sz w:val="24"/>
                <w:szCs w:val="24"/>
              </w:rPr>
            </w:pPr>
            <w:r w:rsidRPr="00D51A75">
              <w:rPr>
                <w:szCs w:val="24"/>
              </w:rPr>
              <w:t>Min</w:t>
            </w:r>
            <w:r>
              <w:rPr>
                <w:szCs w:val="24"/>
              </w:rPr>
              <w:t>ing</w:t>
            </w:r>
            <w:r w:rsidRPr="00D51A75">
              <w:rPr>
                <w:szCs w:val="24"/>
              </w:rPr>
              <w:t xml:space="preserve"> Claim </w:t>
            </w:r>
            <w:r>
              <w:rPr>
                <w:szCs w:val="24"/>
              </w:rPr>
              <w:t>Central</w:t>
            </w:r>
          </w:p>
        </w:tc>
        <w:tc>
          <w:tcPr>
            <w:tcW w:w="2976" w:type="dxa"/>
            <w:shd w:val="clear" w:color="auto" w:fill="D6E3BC" w:themeFill="accent3" w:themeFillTint="66"/>
          </w:tcPr>
          <w:p w14:paraId="57FB677E" w14:textId="77777777" w:rsidR="00C66B02" w:rsidRPr="009328B3" w:rsidRDefault="00C66B02" w:rsidP="00C66B02">
            <w:pPr>
              <w:rPr>
                <w:sz w:val="24"/>
                <w:szCs w:val="24"/>
              </w:rPr>
            </w:pPr>
          </w:p>
        </w:tc>
      </w:tr>
      <w:tr w:rsidR="00C66B02" w:rsidRPr="009328B3" w14:paraId="30CCC28F" w14:textId="77777777" w:rsidTr="002133B8">
        <w:tc>
          <w:tcPr>
            <w:tcW w:w="2694" w:type="dxa"/>
            <w:shd w:val="clear" w:color="auto" w:fill="D6E3BC" w:themeFill="accent3" w:themeFillTint="66"/>
          </w:tcPr>
          <w:p w14:paraId="32D0D2BC" w14:textId="780587BE" w:rsidR="00C66B02" w:rsidRPr="009328B3" w:rsidRDefault="00C66B02" w:rsidP="00C66B02">
            <w:pPr>
              <w:rPr>
                <w:sz w:val="24"/>
                <w:szCs w:val="24"/>
              </w:rPr>
            </w:pPr>
            <w:r w:rsidRPr="009669E9">
              <w:rPr>
                <w:sz w:val="24"/>
                <w:szCs w:val="24"/>
              </w:rPr>
              <w:t>NT</w:t>
            </w:r>
          </w:p>
        </w:tc>
        <w:tc>
          <w:tcPr>
            <w:tcW w:w="5274" w:type="dxa"/>
            <w:shd w:val="clear" w:color="auto" w:fill="D6E3BC" w:themeFill="accent3" w:themeFillTint="66"/>
          </w:tcPr>
          <w:p w14:paraId="10314F51" w14:textId="6009B746" w:rsidR="00C66B02" w:rsidRPr="009328B3" w:rsidRDefault="00C66B02" w:rsidP="00C66B02">
            <w:pPr>
              <w:rPr>
                <w:sz w:val="24"/>
                <w:szCs w:val="24"/>
              </w:rPr>
            </w:pPr>
            <w:r w:rsidRPr="00817C97">
              <w:rPr>
                <w:szCs w:val="24"/>
              </w:rPr>
              <w:t>Mineral Lease</w:t>
            </w:r>
          </w:p>
        </w:tc>
        <w:tc>
          <w:tcPr>
            <w:tcW w:w="2976" w:type="dxa"/>
            <w:shd w:val="clear" w:color="auto" w:fill="D6E3BC" w:themeFill="accent3" w:themeFillTint="66"/>
          </w:tcPr>
          <w:p w14:paraId="4EBC81CF" w14:textId="77777777" w:rsidR="00C66B02" w:rsidRPr="009328B3" w:rsidRDefault="00C66B02" w:rsidP="00C66B02">
            <w:pPr>
              <w:rPr>
                <w:sz w:val="24"/>
                <w:szCs w:val="24"/>
              </w:rPr>
            </w:pPr>
          </w:p>
        </w:tc>
      </w:tr>
      <w:tr w:rsidR="00C66B02" w:rsidRPr="009328B3" w14:paraId="0E0B09F8" w14:textId="77777777" w:rsidTr="002133B8">
        <w:tc>
          <w:tcPr>
            <w:tcW w:w="2694" w:type="dxa"/>
            <w:shd w:val="clear" w:color="auto" w:fill="D6E3BC" w:themeFill="accent3" w:themeFillTint="66"/>
          </w:tcPr>
          <w:p w14:paraId="3A50B20E" w14:textId="07357FA9" w:rsidR="00C66B02" w:rsidRPr="009328B3" w:rsidRDefault="00C66B02" w:rsidP="00C66B02">
            <w:pPr>
              <w:rPr>
                <w:sz w:val="24"/>
                <w:szCs w:val="24"/>
              </w:rPr>
            </w:pPr>
            <w:r w:rsidRPr="009669E9">
              <w:rPr>
                <w:sz w:val="24"/>
                <w:szCs w:val="24"/>
              </w:rPr>
              <w:t>NT</w:t>
            </w:r>
          </w:p>
        </w:tc>
        <w:tc>
          <w:tcPr>
            <w:tcW w:w="5274" w:type="dxa"/>
            <w:shd w:val="clear" w:color="auto" w:fill="D6E3BC" w:themeFill="accent3" w:themeFillTint="66"/>
          </w:tcPr>
          <w:p w14:paraId="44CB8F37" w14:textId="6FC8E047" w:rsidR="00C66B02" w:rsidRPr="009328B3" w:rsidRDefault="00C66B02" w:rsidP="00C66B02">
            <w:pPr>
              <w:rPr>
                <w:sz w:val="24"/>
                <w:szCs w:val="24"/>
              </w:rPr>
            </w:pPr>
            <w:r w:rsidRPr="00D51A75">
              <w:rPr>
                <w:szCs w:val="24"/>
              </w:rPr>
              <w:t>Mineral Lease Central</w:t>
            </w:r>
          </w:p>
        </w:tc>
        <w:tc>
          <w:tcPr>
            <w:tcW w:w="2976" w:type="dxa"/>
            <w:shd w:val="clear" w:color="auto" w:fill="D6E3BC" w:themeFill="accent3" w:themeFillTint="66"/>
          </w:tcPr>
          <w:p w14:paraId="5041F96F" w14:textId="77777777" w:rsidR="00C66B02" w:rsidRPr="009328B3" w:rsidRDefault="00C66B02" w:rsidP="00C66B02">
            <w:pPr>
              <w:rPr>
                <w:sz w:val="24"/>
                <w:szCs w:val="24"/>
              </w:rPr>
            </w:pPr>
          </w:p>
        </w:tc>
      </w:tr>
      <w:tr w:rsidR="00C66B02" w:rsidRPr="009328B3" w14:paraId="6C1DD565" w14:textId="77777777" w:rsidTr="002133B8">
        <w:tc>
          <w:tcPr>
            <w:tcW w:w="2694" w:type="dxa"/>
            <w:shd w:val="clear" w:color="auto" w:fill="D6E3BC" w:themeFill="accent3" w:themeFillTint="66"/>
          </w:tcPr>
          <w:p w14:paraId="55E44322" w14:textId="2A6F1EC8" w:rsidR="00C66B02" w:rsidRPr="009328B3" w:rsidRDefault="00C66B02" w:rsidP="00C66B02">
            <w:pPr>
              <w:rPr>
                <w:sz w:val="24"/>
                <w:szCs w:val="24"/>
              </w:rPr>
            </w:pPr>
            <w:r w:rsidRPr="009669E9">
              <w:rPr>
                <w:sz w:val="24"/>
                <w:szCs w:val="24"/>
              </w:rPr>
              <w:t>NT</w:t>
            </w:r>
          </w:p>
        </w:tc>
        <w:tc>
          <w:tcPr>
            <w:tcW w:w="5274" w:type="dxa"/>
            <w:shd w:val="clear" w:color="auto" w:fill="D6E3BC" w:themeFill="accent3" w:themeFillTint="66"/>
          </w:tcPr>
          <w:p w14:paraId="30F05003" w14:textId="0850FA8F" w:rsidR="00C66B02" w:rsidRPr="009328B3" w:rsidRDefault="00C66B02" w:rsidP="00C66B02">
            <w:pPr>
              <w:rPr>
                <w:sz w:val="24"/>
                <w:szCs w:val="24"/>
              </w:rPr>
            </w:pPr>
            <w:r w:rsidRPr="00C311CE">
              <w:rPr>
                <w:szCs w:val="24"/>
              </w:rPr>
              <w:t>Mineral Lease Northern</w:t>
            </w:r>
          </w:p>
        </w:tc>
        <w:tc>
          <w:tcPr>
            <w:tcW w:w="2976" w:type="dxa"/>
            <w:shd w:val="clear" w:color="auto" w:fill="D6E3BC" w:themeFill="accent3" w:themeFillTint="66"/>
          </w:tcPr>
          <w:p w14:paraId="0E3A42B5" w14:textId="77777777" w:rsidR="00C66B02" w:rsidRPr="009328B3" w:rsidRDefault="00C66B02" w:rsidP="00C66B02">
            <w:pPr>
              <w:rPr>
                <w:sz w:val="24"/>
                <w:szCs w:val="24"/>
              </w:rPr>
            </w:pPr>
          </w:p>
        </w:tc>
      </w:tr>
    </w:tbl>
    <w:p w14:paraId="588A1F1F" w14:textId="77777777" w:rsidR="007938C3" w:rsidRPr="009328B3" w:rsidRDefault="007938C3" w:rsidP="009328B3">
      <w:pPr>
        <w:spacing w:after="120"/>
      </w:pPr>
    </w:p>
    <w:tbl>
      <w:tblPr>
        <w:tblStyle w:val="TableGrid"/>
        <w:tblW w:w="10944" w:type="dxa"/>
        <w:tblInd w:w="-176" w:type="dxa"/>
        <w:tblLook w:val="04A0" w:firstRow="1" w:lastRow="0" w:firstColumn="1" w:lastColumn="0" w:noHBand="0" w:noVBand="1"/>
      </w:tblPr>
      <w:tblGrid>
        <w:gridCol w:w="7939"/>
        <w:gridCol w:w="3005"/>
      </w:tblGrid>
      <w:tr w:rsidR="008E2879" w:rsidRPr="009328B3" w14:paraId="2A16748A" w14:textId="77777777" w:rsidTr="002133B8">
        <w:tc>
          <w:tcPr>
            <w:tcW w:w="10944" w:type="dxa"/>
            <w:gridSpan w:val="2"/>
            <w:shd w:val="pct15" w:color="auto" w:fill="auto"/>
          </w:tcPr>
          <w:p w14:paraId="45D8D2A9" w14:textId="77777777" w:rsidR="008E2879" w:rsidRPr="009328B3" w:rsidRDefault="007055C3" w:rsidP="00431E89">
            <w:pPr>
              <w:jc w:val="center"/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Task L</w:t>
            </w:r>
            <w:r w:rsidR="008E2879" w:rsidRPr="009328B3">
              <w:rPr>
                <w:b/>
                <w:sz w:val="24"/>
                <w:szCs w:val="24"/>
              </w:rPr>
              <w:t>ist</w:t>
            </w:r>
          </w:p>
        </w:tc>
      </w:tr>
      <w:tr w:rsidR="00441A77" w:rsidRPr="009328B3" w14:paraId="557D2879" w14:textId="77777777" w:rsidTr="002133B8">
        <w:tc>
          <w:tcPr>
            <w:tcW w:w="7939" w:type="dxa"/>
            <w:shd w:val="clear" w:color="auto" w:fill="D9D9D9" w:themeFill="background1" w:themeFillShade="D9"/>
          </w:tcPr>
          <w:p w14:paraId="3A818F20" w14:textId="77777777" w:rsidR="00441A77" w:rsidRPr="009328B3" w:rsidRDefault="00441A7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175C92EC" w14:textId="77777777" w:rsidR="00441A77" w:rsidRPr="009328B3" w:rsidRDefault="001B07C7" w:rsidP="009328B3">
            <w:pPr>
              <w:rPr>
                <w:b/>
                <w:sz w:val="24"/>
                <w:szCs w:val="24"/>
              </w:rPr>
            </w:pPr>
            <w:r w:rsidRPr="009328B3">
              <w:rPr>
                <w:b/>
                <w:sz w:val="24"/>
                <w:szCs w:val="24"/>
              </w:rPr>
              <w:t>Days Needed</w:t>
            </w:r>
            <w:r w:rsidR="007055C3" w:rsidRPr="009328B3">
              <w:rPr>
                <w:b/>
                <w:sz w:val="24"/>
                <w:szCs w:val="24"/>
              </w:rPr>
              <w:t xml:space="preserve"> </w:t>
            </w:r>
            <w:r w:rsidRPr="009328B3">
              <w:rPr>
                <w:b/>
                <w:sz w:val="24"/>
                <w:szCs w:val="24"/>
              </w:rPr>
              <w:t>Before Deadline</w:t>
            </w:r>
          </w:p>
        </w:tc>
      </w:tr>
      <w:tr w:rsidR="006275EC" w:rsidRPr="009328B3" w14:paraId="7C26678B" w14:textId="77777777" w:rsidTr="002133B8">
        <w:trPr>
          <w:trHeight w:val="279"/>
        </w:trPr>
        <w:tc>
          <w:tcPr>
            <w:tcW w:w="7939" w:type="dxa"/>
            <w:shd w:val="clear" w:color="auto" w:fill="D6E3BC" w:themeFill="accent3" w:themeFillTint="66"/>
          </w:tcPr>
          <w:p w14:paraId="3D868166" w14:textId="77777777" w:rsidR="006275EC" w:rsidRPr="009328B3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C05C34">
              <w:rPr>
                <w:sz w:val="24"/>
                <w:szCs w:val="24"/>
              </w:rPr>
              <w:t>Notify Geo or Exploration Manager of Rent Due</w:t>
            </w:r>
          </w:p>
        </w:tc>
        <w:tc>
          <w:tcPr>
            <w:tcW w:w="3005" w:type="dxa"/>
            <w:shd w:val="clear" w:color="auto" w:fill="D6E3BC" w:themeFill="accent3" w:themeFillTint="66"/>
          </w:tcPr>
          <w:p w14:paraId="6C1EFEEB" w14:textId="77777777" w:rsidR="006275EC" w:rsidRPr="009328B3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70d</w:t>
            </w:r>
          </w:p>
        </w:tc>
      </w:tr>
      <w:tr w:rsidR="00C05C34" w:rsidRPr="009328B3" w14:paraId="5DD6B59E" w14:textId="77777777" w:rsidTr="002133B8">
        <w:tc>
          <w:tcPr>
            <w:tcW w:w="7939" w:type="dxa"/>
            <w:shd w:val="clear" w:color="auto" w:fill="D6E3BC" w:themeFill="accent3" w:themeFillTint="66"/>
          </w:tcPr>
          <w:p w14:paraId="685F282B" w14:textId="77777777" w:rsidR="00C05C34" w:rsidRPr="009328B3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C05C34">
              <w:rPr>
                <w:sz w:val="24"/>
                <w:szCs w:val="24"/>
              </w:rPr>
              <w:t>Notify Accounts – Reminder to pay rent</w:t>
            </w:r>
          </w:p>
        </w:tc>
        <w:tc>
          <w:tcPr>
            <w:tcW w:w="3005" w:type="dxa"/>
            <w:shd w:val="clear" w:color="auto" w:fill="D6E3BC" w:themeFill="accent3" w:themeFillTint="66"/>
          </w:tcPr>
          <w:p w14:paraId="2594F062" w14:textId="77777777" w:rsidR="00C05C34" w:rsidRPr="009328B3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30d</w:t>
            </w:r>
          </w:p>
        </w:tc>
      </w:tr>
      <w:tr w:rsidR="00C05C34" w:rsidRPr="009328B3" w14:paraId="682E2877" w14:textId="77777777" w:rsidTr="002133B8">
        <w:tc>
          <w:tcPr>
            <w:tcW w:w="7939" w:type="dxa"/>
            <w:shd w:val="clear" w:color="auto" w:fill="D6E3BC" w:themeFill="accent3" w:themeFillTint="66"/>
          </w:tcPr>
          <w:p w14:paraId="11025C52" w14:textId="77777777" w:rsidR="00C05C34" w:rsidRPr="009328B3" w:rsidRDefault="00C05C34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C05C34">
              <w:rPr>
                <w:sz w:val="24"/>
                <w:szCs w:val="24"/>
              </w:rPr>
              <w:t>Pay Rent</w:t>
            </w:r>
          </w:p>
        </w:tc>
        <w:tc>
          <w:tcPr>
            <w:tcW w:w="3005" w:type="dxa"/>
            <w:shd w:val="clear" w:color="auto" w:fill="D6E3BC" w:themeFill="accent3" w:themeFillTint="66"/>
          </w:tcPr>
          <w:p w14:paraId="229C7B2D" w14:textId="77777777" w:rsidR="00C05C34" w:rsidRPr="009328B3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14d</w:t>
            </w:r>
          </w:p>
        </w:tc>
      </w:tr>
      <w:tr w:rsidR="00C05C34" w:rsidRPr="009328B3" w14:paraId="2B09AC68" w14:textId="77777777" w:rsidTr="002133B8">
        <w:tc>
          <w:tcPr>
            <w:tcW w:w="7939" w:type="dxa"/>
            <w:shd w:val="clear" w:color="auto" w:fill="D6E3BC" w:themeFill="accent3" w:themeFillTint="66"/>
          </w:tcPr>
          <w:p w14:paraId="4DD34322" w14:textId="374A226D" w:rsidR="00C05C34" w:rsidRPr="009328B3" w:rsidRDefault="000956B6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Verify Rent Received with DPIR</w:t>
            </w:r>
          </w:p>
        </w:tc>
        <w:tc>
          <w:tcPr>
            <w:tcW w:w="3005" w:type="dxa"/>
            <w:shd w:val="clear" w:color="auto" w:fill="D6E3BC" w:themeFill="accent3" w:themeFillTint="66"/>
          </w:tcPr>
          <w:p w14:paraId="3CC34A64" w14:textId="77777777" w:rsidR="00C05C34" w:rsidRPr="009328B3" w:rsidRDefault="00C05C34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</w:t>
            </w:r>
          </w:p>
        </w:tc>
      </w:tr>
      <w:tr w:rsidR="009328B3" w:rsidRPr="009328B3" w14:paraId="0EE33C9C" w14:textId="77777777" w:rsidTr="002133B8">
        <w:tc>
          <w:tcPr>
            <w:tcW w:w="7939" w:type="dxa"/>
            <w:shd w:val="clear" w:color="auto" w:fill="D6E3BC" w:themeFill="accent3" w:themeFillTint="66"/>
          </w:tcPr>
          <w:p w14:paraId="2D27CF99" w14:textId="77777777" w:rsidR="009328B3" w:rsidRPr="009328B3" w:rsidRDefault="009328B3" w:rsidP="009328B3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D6E3BC" w:themeFill="accent3" w:themeFillTint="66"/>
          </w:tcPr>
          <w:p w14:paraId="6B53F4CD" w14:textId="77777777" w:rsidR="009328B3" w:rsidRPr="009328B3" w:rsidRDefault="009328B3" w:rsidP="009328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3E98E1F2" w14:textId="77777777" w:rsidR="00184150" w:rsidRDefault="00184150" w:rsidP="0018415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9328B3">
        <w:rPr>
          <w:i/>
          <w:sz w:val="18"/>
          <w:szCs w:val="18"/>
          <w:u w:val="single"/>
        </w:rPr>
        <w:t>Note</w:t>
      </w:r>
      <w:r w:rsidRPr="009328B3">
        <w:rPr>
          <w:i/>
          <w:sz w:val="18"/>
          <w:szCs w:val="18"/>
        </w:rPr>
        <w:t xml:space="preserve">: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negate the need for separate follow up Actions.  You may add in as many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items as you wish. If a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has no Days Needed Before Deadline entered then it will default to the previous </w:t>
      </w:r>
      <w:r w:rsidR="00DF03CA" w:rsidRPr="009328B3">
        <w:rPr>
          <w:i/>
          <w:sz w:val="18"/>
          <w:szCs w:val="18"/>
        </w:rPr>
        <w:t>Task List</w:t>
      </w:r>
      <w:r w:rsidRPr="009328B3">
        <w:rPr>
          <w:i/>
          <w:sz w:val="18"/>
          <w:szCs w:val="18"/>
        </w:rPr>
        <w:t xml:space="preserve"> item Days Needed Before Deadline.</w:t>
      </w:r>
    </w:p>
    <w:p w14:paraId="4FEB432E" w14:textId="77777777" w:rsidR="0093041B" w:rsidRPr="009328B3" w:rsidRDefault="0093041B" w:rsidP="002B602D">
      <w:pPr>
        <w:spacing w:after="0" w:line="240" w:lineRule="auto"/>
        <w:ind w:left="-142"/>
        <w:rPr>
          <w:b/>
          <w:sz w:val="24"/>
          <w:szCs w:val="24"/>
        </w:rPr>
      </w:pPr>
      <w:r w:rsidRPr="009328B3">
        <w:rPr>
          <w:b/>
          <w:sz w:val="24"/>
          <w:szCs w:val="24"/>
        </w:rPr>
        <w:t>How to Lodge:</w:t>
      </w:r>
    </w:p>
    <w:p w14:paraId="0F7D1A46" w14:textId="2E50DC4C" w:rsidR="00280162" w:rsidRPr="009328B3" w:rsidRDefault="00475FE7" w:rsidP="002B602D">
      <w:pPr>
        <w:spacing w:after="0" w:line="240" w:lineRule="auto"/>
        <w:ind w:left="-142"/>
        <w:rPr>
          <w:sz w:val="24"/>
          <w:szCs w:val="24"/>
        </w:rPr>
      </w:pPr>
      <w:r w:rsidRPr="009328B3">
        <w:rPr>
          <w:sz w:val="24"/>
          <w:szCs w:val="24"/>
        </w:rPr>
        <w:t>The Depa</w:t>
      </w:r>
      <w:r w:rsidR="00C347E6">
        <w:rPr>
          <w:sz w:val="24"/>
          <w:szCs w:val="24"/>
        </w:rPr>
        <w:t>rtment of Primary Industry &amp; Resources(DPIR</w:t>
      </w:r>
      <w:r w:rsidRPr="009328B3">
        <w:rPr>
          <w:sz w:val="24"/>
          <w:szCs w:val="24"/>
        </w:rPr>
        <w:t xml:space="preserve">) </w:t>
      </w:r>
      <w:r w:rsidR="00C347E6">
        <w:rPr>
          <w:i/>
          <w:sz w:val="24"/>
          <w:szCs w:val="24"/>
        </w:rPr>
        <w:t>Mineral Titles</w:t>
      </w:r>
      <w:r w:rsidRPr="009328B3">
        <w:rPr>
          <w:sz w:val="24"/>
          <w:szCs w:val="24"/>
        </w:rPr>
        <w:t xml:space="preserve"> fees and charges can now be paid at th</w:t>
      </w:r>
      <w:r w:rsidR="00C347E6">
        <w:rPr>
          <w:sz w:val="24"/>
          <w:szCs w:val="24"/>
        </w:rPr>
        <w:t xml:space="preserve">e Customer Service Counter Darwin and </w:t>
      </w:r>
      <w:r w:rsidRPr="009328B3">
        <w:rPr>
          <w:sz w:val="24"/>
          <w:szCs w:val="24"/>
        </w:rPr>
        <w:t>by Electronic Funds Transfer (EFTPOS) or credit card.</w:t>
      </w:r>
    </w:p>
    <w:p w14:paraId="4D65ABBF" w14:textId="6F201E82" w:rsidR="00475FE7" w:rsidRDefault="00475FE7" w:rsidP="002B602D">
      <w:pPr>
        <w:spacing w:after="0" w:line="240" w:lineRule="auto"/>
        <w:ind w:left="-142"/>
        <w:rPr>
          <w:sz w:val="24"/>
          <w:szCs w:val="24"/>
        </w:rPr>
      </w:pPr>
      <w:r w:rsidRPr="00C347E6">
        <w:rPr>
          <w:sz w:val="24"/>
          <w:szCs w:val="24"/>
          <w:highlight w:val="yellow"/>
        </w:rPr>
        <w:t xml:space="preserve">Payment online </w:t>
      </w:r>
      <w:r w:rsidR="00FC0950" w:rsidRPr="00C347E6">
        <w:rPr>
          <w:sz w:val="24"/>
          <w:szCs w:val="24"/>
          <w:highlight w:val="yellow"/>
        </w:rPr>
        <w:t>may</w:t>
      </w:r>
      <w:r w:rsidRPr="00C347E6">
        <w:rPr>
          <w:sz w:val="24"/>
          <w:szCs w:val="24"/>
          <w:highlight w:val="yellow"/>
        </w:rPr>
        <w:t xml:space="preserve"> be made at:</w:t>
      </w:r>
    </w:p>
    <w:p w14:paraId="3E3F4555" w14:textId="77777777" w:rsidR="00C347E6" w:rsidRPr="009328B3" w:rsidRDefault="00C347E6" w:rsidP="002B602D">
      <w:pPr>
        <w:spacing w:after="0" w:line="240" w:lineRule="auto"/>
        <w:ind w:left="-142"/>
        <w:rPr>
          <w:sz w:val="24"/>
          <w:szCs w:val="24"/>
        </w:rPr>
      </w:pPr>
    </w:p>
    <w:p w14:paraId="0B738C22" w14:textId="1C539B22" w:rsidR="004512C5" w:rsidRDefault="002E7D7C" w:rsidP="00C05C34">
      <w:pPr>
        <w:spacing w:after="0" w:line="240" w:lineRule="auto"/>
        <w:ind w:left="-142"/>
        <w:rPr>
          <w:sz w:val="24"/>
          <w:szCs w:val="24"/>
        </w:rPr>
      </w:pPr>
      <w:r w:rsidRPr="009328B3">
        <w:rPr>
          <w:sz w:val="24"/>
          <w:szCs w:val="24"/>
        </w:rPr>
        <w:t>Fees and Charges can be found at:</w:t>
      </w:r>
    </w:p>
    <w:p w14:paraId="4E73253E" w14:textId="77777777" w:rsidR="00C347E6" w:rsidRDefault="00C347E6" w:rsidP="00C05C34">
      <w:pPr>
        <w:spacing w:after="0" w:line="240" w:lineRule="auto"/>
        <w:ind w:left="-142"/>
        <w:rPr>
          <w:sz w:val="24"/>
          <w:szCs w:val="24"/>
        </w:rPr>
      </w:pPr>
    </w:p>
    <w:p w14:paraId="1F825289" w14:textId="55C2ABF8" w:rsidR="00DD4B6F" w:rsidRPr="00DD4B6F" w:rsidRDefault="00DD4B6F" w:rsidP="00C05C34">
      <w:pPr>
        <w:spacing w:after="0" w:line="240" w:lineRule="auto"/>
        <w:ind w:left="-142"/>
        <w:rPr>
          <w:b/>
          <w:i/>
          <w:sz w:val="24"/>
          <w:szCs w:val="24"/>
        </w:rPr>
      </w:pPr>
      <w:r w:rsidRPr="00DD4B6F">
        <w:rPr>
          <w:b/>
          <w:i/>
        </w:rPr>
        <w:t>Schedule of Fees and Rents for Mineral Titles</w:t>
      </w:r>
    </w:p>
    <w:p w14:paraId="4A00707F" w14:textId="284C27F4" w:rsidR="00DD4B6F" w:rsidRDefault="00DD4B6F" w:rsidP="00C05C34">
      <w:pPr>
        <w:spacing w:after="0" w:line="240" w:lineRule="auto"/>
        <w:ind w:left="-142"/>
        <w:rPr>
          <w:sz w:val="24"/>
          <w:szCs w:val="24"/>
        </w:rPr>
      </w:pPr>
      <w:hyperlink r:id="rId11" w:history="1">
        <w:r w:rsidRPr="00C076E5">
          <w:rPr>
            <w:rStyle w:val="Hyperlink"/>
            <w:sz w:val="24"/>
            <w:szCs w:val="24"/>
          </w:rPr>
          <w:t>https://nt.gov.au/__data/assets/pdf_file/0013/203305/schedule-of-mineral-titles-fees-and-rent.pdf</w:t>
        </w:r>
      </w:hyperlink>
      <w:r>
        <w:rPr>
          <w:sz w:val="24"/>
          <w:szCs w:val="24"/>
        </w:rPr>
        <w:t xml:space="preserve"> </w:t>
      </w:r>
    </w:p>
    <w:p w14:paraId="006BE957" w14:textId="77777777" w:rsidR="00DD4B6F" w:rsidRPr="00DD4B6F" w:rsidRDefault="00DD4B6F" w:rsidP="00DD4B6F">
      <w:pPr>
        <w:shd w:val="clear" w:color="auto" w:fill="FFFFFF"/>
        <w:spacing w:after="0" w:line="0" w:lineRule="auto"/>
        <w:outlineLvl w:val="0"/>
        <w:rPr>
          <w:rFonts w:ascii="Arial" w:eastAsia="Times New Roman" w:hAnsi="Arial" w:cs="Arial"/>
          <w:b/>
          <w:bCs/>
          <w:color w:val="180D0A"/>
          <w:kern w:val="36"/>
          <w:sz w:val="51"/>
          <w:szCs w:val="51"/>
          <w:lang w:eastAsia="en-AU"/>
        </w:rPr>
      </w:pPr>
      <w:r w:rsidRPr="00DD4B6F">
        <w:rPr>
          <w:rFonts w:ascii="Arial" w:eastAsia="Times New Roman" w:hAnsi="Arial" w:cs="Arial"/>
          <w:b/>
          <w:bCs/>
          <w:color w:val="180D0A"/>
          <w:kern w:val="36"/>
          <w:sz w:val="51"/>
          <w:szCs w:val="51"/>
          <w:lang w:eastAsia="en-AU"/>
        </w:rPr>
        <w:t>Mineral title fees and rents</w:t>
      </w:r>
    </w:p>
    <w:p w14:paraId="4AB223DD" w14:textId="77777777" w:rsidR="00DD4B6F" w:rsidRDefault="00DD4B6F" w:rsidP="00DD4B6F">
      <w:pPr>
        <w:pStyle w:val="Heading1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180D0A"/>
          <w:sz w:val="51"/>
          <w:szCs w:val="51"/>
        </w:rPr>
      </w:pPr>
      <w:r>
        <w:rPr>
          <w:rFonts w:ascii="Arial" w:hAnsi="Arial" w:cs="Arial"/>
          <w:color w:val="180D0A"/>
          <w:sz w:val="51"/>
          <w:szCs w:val="51"/>
        </w:rPr>
        <w:t>Mineral title fees and rents</w:t>
      </w:r>
    </w:p>
    <w:p w14:paraId="52C7B4F5" w14:textId="77777777" w:rsidR="00DD4B6F" w:rsidRDefault="00DD4B6F" w:rsidP="00DD4B6F">
      <w:pPr>
        <w:pStyle w:val="Heading1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180D0A"/>
          <w:sz w:val="51"/>
          <w:szCs w:val="51"/>
        </w:rPr>
      </w:pPr>
      <w:r>
        <w:rPr>
          <w:rFonts w:ascii="Arial" w:hAnsi="Arial" w:cs="Arial"/>
          <w:color w:val="180D0A"/>
          <w:sz w:val="51"/>
          <w:szCs w:val="51"/>
        </w:rPr>
        <w:t>Mineral title fees and rents</w:t>
      </w:r>
    </w:p>
    <w:p w14:paraId="5D08203E" w14:textId="77777777" w:rsidR="00DD4B6F" w:rsidRDefault="00DD4B6F" w:rsidP="00DD4B6F">
      <w:pPr>
        <w:pStyle w:val="Heading1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180D0A"/>
          <w:sz w:val="51"/>
          <w:szCs w:val="51"/>
        </w:rPr>
      </w:pPr>
      <w:r>
        <w:rPr>
          <w:rFonts w:ascii="Arial" w:hAnsi="Arial" w:cs="Arial"/>
          <w:color w:val="180D0A"/>
          <w:sz w:val="51"/>
          <w:szCs w:val="51"/>
        </w:rPr>
        <w:t>Mineral title fees and rents</w:t>
      </w:r>
    </w:p>
    <w:p w14:paraId="0CA593D6" w14:textId="2E3006FB" w:rsidR="00DD4B6F" w:rsidRPr="00DD4B6F" w:rsidRDefault="00DD4B6F" w:rsidP="00C05C34">
      <w:pPr>
        <w:spacing w:after="0" w:line="240" w:lineRule="auto"/>
        <w:ind w:left="-142"/>
        <w:rPr>
          <w:b/>
          <w:i/>
          <w:sz w:val="24"/>
          <w:szCs w:val="24"/>
        </w:rPr>
      </w:pPr>
      <w:r w:rsidRPr="00DD4B6F">
        <w:rPr>
          <w:b/>
          <w:i/>
          <w:sz w:val="24"/>
          <w:szCs w:val="24"/>
        </w:rPr>
        <w:t>Mineral Title Fees &amp; Rents</w:t>
      </w:r>
    </w:p>
    <w:p w14:paraId="4C1F9CF7" w14:textId="433E0578" w:rsidR="000B78E0" w:rsidRDefault="00DD4B6F" w:rsidP="00C05C34">
      <w:pPr>
        <w:spacing w:after="0" w:line="240" w:lineRule="auto"/>
        <w:ind w:left="-142"/>
        <w:rPr>
          <w:sz w:val="24"/>
          <w:szCs w:val="24"/>
        </w:rPr>
      </w:pPr>
      <w:hyperlink r:id="rId12" w:history="1">
        <w:r w:rsidRPr="00C076E5">
          <w:rPr>
            <w:rStyle w:val="Hyperlink"/>
            <w:sz w:val="24"/>
            <w:szCs w:val="24"/>
          </w:rPr>
          <w:t>https://nt.gov.au/industry/mining-and-petroleum/mineral-titles/mineral-title-fees-and-rents</w:t>
        </w:r>
      </w:hyperlink>
      <w:r>
        <w:rPr>
          <w:sz w:val="24"/>
          <w:szCs w:val="24"/>
        </w:rPr>
        <w:t xml:space="preserve"> </w:t>
      </w:r>
    </w:p>
    <w:p w14:paraId="3D64AC47" w14:textId="2CE7064F" w:rsidR="00DD4B6F" w:rsidRDefault="00DD4B6F" w:rsidP="00C05C34">
      <w:pPr>
        <w:spacing w:after="0" w:line="240" w:lineRule="auto"/>
        <w:ind w:left="-142"/>
        <w:rPr>
          <w:sz w:val="24"/>
          <w:szCs w:val="24"/>
        </w:rPr>
      </w:pPr>
      <w:r w:rsidRPr="00DD4B6F">
        <w:rPr>
          <w:b/>
          <w:i/>
          <w:sz w:val="24"/>
          <w:szCs w:val="24"/>
        </w:rPr>
        <w:t>Summary of mineral title types, conditions and fees</w:t>
      </w:r>
    </w:p>
    <w:p w14:paraId="72337128" w14:textId="4D448F89" w:rsidR="001F56C5" w:rsidRDefault="00060D52" w:rsidP="00C05C34">
      <w:pPr>
        <w:spacing w:after="0" w:line="240" w:lineRule="auto"/>
        <w:ind w:left="-142"/>
        <w:rPr>
          <w:sz w:val="24"/>
          <w:szCs w:val="24"/>
        </w:rPr>
      </w:pPr>
      <w:hyperlink r:id="rId13" w:history="1">
        <w:r w:rsidRPr="00474D16">
          <w:rPr>
            <w:rStyle w:val="Hyperlink"/>
            <w:sz w:val="24"/>
            <w:szCs w:val="24"/>
          </w:rPr>
          <w:t>https://nt.gov.au/industry/mining-and-petroleum/mineral-titles/about-mineral-titles/summary-of-mineral-title-types-conditions-and-fees</w:t>
        </w:r>
      </w:hyperlink>
      <w:r>
        <w:rPr>
          <w:sz w:val="24"/>
          <w:szCs w:val="24"/>
        </w:rPr>
        <w:t xml:space="preserve"> </w:t>
      </w:r>
    </w:p>
    <w:p w14:paraId="53FCEBA5" w14:textId="77777777" w:rsidR="00C05C34" w:rsidRPr="00C05C34" w:rsidRDefault="00C05C34" w:rsidP="00C05C34">
      <w:pPr>
        <w:spacing w:after="0" w:line="240" w:lineRule="auto"/>
        <w:ind w:left="-142"/>
        <w:rPr>
          <w:sz w:val="24"/>
          <w:szCs w:val="24"/>
        </w:rPr>
      </w:pPr>
    </w:p>
    <w:p w14:paraId="1BDE648F" w14:textId="77777777" w:rsidR="003F33B8" w:rsidRDefault="003F33B8" w:rsidP="003F33B8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3F33B8" w14:paraId="36243966" w14:textId="77777777" w:rsidTr="00637529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3DC47E0B" w14:textId="77777777" w:rsidR="003F33B8" w:rsidRDefault="003F33B8" w:rsidP="006375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3F33B8" w14:paraId="557EC528" w14:textId="77777777" w:rsidTr="00637529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BAC9E2" w14:textId="77777777" w:rsidR="003F33B8" w:rsidRDefault="003F33B8" w:rsidP="0063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DFB60C" w14:textId="77777777" w:rsidR="003F33B8" w:rsidRDefault="003F33B8" w:rsidP="0063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57C71F" w14:textId="77777777" w:rsidR="003F33B8" w:rsidRDefault="003F33B8" w:rsidP="0063752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3F33B8" w14:paraId="7AF31D83" w14:textId="77777777" w:rsidTr="00C735AF">
        <w:trPr>
          <w:trHeight w:val="27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61A6" w14:textId="14EAD752" w:rsidR="003F33B8" w:rsidRDefault="00D36A99" w:rsidP="0063752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2080" w14:textId="58AA5D4D" w:rsidR="003F33B8" w:rsidRDefault="00D36A99" w:rsidP="00637529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D0CE" w14:textId="5C565481" w:rsidR="003F33B8" w:rsidRDefault="00D36A99" w:rsidP="00637529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D36A99">
              <w:rPr>
                <w:sz w:val="24"/>
                <w:szCs w:val="24"/>
              </w:rPr>
              <w:t>Removed custom fields, wiki links, and test examples.</w:t>
            </w:r>
          </w:p>
        </w:tc>
      </w:tr>
      <w:tr w:rsidR="00C735AF" w14:paraId="73C75DB4" w14:textId="77777777" w:rsidTr="00637529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3103" w14:textId="55A4F4BE" w:rsidR="00C735AF" w:rsidRDefault="00C735AF" w:rsidP="00C735A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09/12/2016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2038" w14:textId="344E1030" w:rsidR="00C735AF" w:rsidRDefault="00C735AF" w:rsidP="00C735A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0644" w14:textId="31CFE23F" w:rsidR="00C735AF" w:rsidRDefault="00C735AF" w:rsidP="00C735A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C735AF" w14:paraId="60C77FFB" w14:textId="77777777" w:rsidTr="00637529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BE06" w14:textId="77777777" w:rsidR="00C735AF" w:rsidRDefault="00C735AF" w:rsidP="00C735A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BAED" w14:textId="77777777" w:rsidR="00C735AF" w:rsidRDefault="00C735AF" w:rsidP="00C735A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12A1" w14:textId="77777777" w:rsidR="00C735AF" w:rsidRDefault="00C735AF" w:rsidP="00C735A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C735AF" w14:paraId="7D8457E0" w14:textId="77777777" w:rsidTr="00637529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3B0" w14:textId="77777777" w:rsidR="00C735AF" w:rsidRDefault="00C735AF" w:rsidP="00C735A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792C" w14:textId="77777777" w:rsidR="00C735AF" w:rsidRDefault="00C735AF" w:rsidP="00C735A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457B" w14:textId="77777777" w:rsidR="00C735AF" w:rsidRDefault="00C735AF" w:rsidP="00C735A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92C1533" w14:textId="77777777" w:rsidR="003F33B8" w:rsidRDefault="003F33B8" w:rsidP="003F33B8"/>
    <w:p w14:paraId="530BEB3B" w14:textId="77777777" w:rsidR="006A3414" w:rsidRPr="009328B3" w:rsidRDefault="006A3414" w:rsidP="00AF75C1"/>
    <w:sectPr w:rsidR="006A3414" w:rsidRPr="009328B3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A2DE7" w14:textId="77777777" w:rsidR="003F7D8A" w:rsidRDefault="003F7D8A" w:rsidP="00AF75C1">
      <w:pPr>
        <w:spacing w:after="0" w:line="240" w:lineRule="auto"/>
      </w:pPr>
      <w:r>
        <w:separator/>
      </w:r>
    </w:p>
  </w:endnote>
  <w:endnote w:type="continuationSeparator" w:id="0">
    <w:p w14:paraId="45ADA0CE" w14:textId="77777777" w:rsidR="003F7D8A" w:rsidRDefault="003F7D8A" w:rsidP="00AF7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78014F" w14:textId="77777777" w:rsidR="003F7D8A" w:rsidRDefault="003F7D8A" w:rsidP="00AF75C1">
      <w:pPr>
        <w:spacing w:after="0" w:line="240" w:lineRule="auto"/>
      </w:pPr>
      <w:r>
        <w:separator/>
      </w:r>
    </w:p>
  </w:footnote>
  <w:footnote w:type="continuationSeparator" w:id="0">
    <w:p w14:paraId="0F1A9742" w14:textId="77777777" w:rsidR="003F7D8A" w:rsidRDefault="003F7D8A" w:rsidP="00AF75C1">
      <w:pPr>
        <w:spacing w:after="0" w:line="240" w:lineRule="auto"/>
      </w:pPr>
      <w:r>
        <w:continuationSeparator/>
      </w:r>
    </w:p>
  </w:footnote>
  <w:footnote w:id="1">
    <w:p w14:paraId="40CA2F8B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7AFD9943" w14:textId="22AC211F" w:rsidR="00574F92" w:rsidRDefault="00574F92">
      <w:pPr>
        <w:pStyle w:val="FootnoteText"/>
      </w:pPr>
      <w:r>
        <w:rPr>
          <w:rStyle w:val="FootnoteReference"/>
        </w:rPr>
        <w:footnoteRef/>
      </w:r>
      <w:r>
        <w:t xml:space="preserve"> Some NT tenements have Status </w:t>
      </w:r>
      <w:r>
        <w:rPr>
          <w:b/>
        </w:rPr>
        <w:t>?Issued?</w:t>
      </w:r>
      <w:r>
        <w:t>. This Action Definition would need to be modified if actions are required for this status</w:t>
      </w:r>
    </w:p>
  </w:footnote>
  <w:footnote w:id="3">
    <w:p w14:paraId="278ECC5A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4">
    <w:p w14:paraId="2C425EE8" w14:textId="77777777" w:rsidR="00431E89" w:rsidRDefault="00431E89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068168">
    <w:abstractNumId w:val="1"/>
  </w:num>
  <w:num w:numId="2" w16cid:durableId="2069986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AC"/>
    <w:rsid w:val="000567D5"/>
    <w:rsid w:val="00060D52"/>
    <w:rsid w:val="00065DDC"/>
    <w:rsid w:val="0006729A"/>
    <w:rsid w:val="00073E2E"/>
    <w:rsid w:val="00092044"/>
    <w:rsid w:val="000956B6"/>
    <w:rsid w:val="000A418B"/>
    <w:rsid w:val="000B78E0"/>
    <w:rsid w:val="000C7037"/>
    <w:rsid w:val="000F0C7B"/>
    <w:rsid w:val="001051DD"/>
    <w:rsid w:val="001211B5"/>
    <w:rsid w:val="00135BFE"/>
    <w:rsid w:val="00153B19"/>
    <w:rsid w:val="00173393"/>
    <w:rsid w:val="00184150"/>
    <w:rsid w:val="001867AB"/>
    <w:rsid w:val="001B0421"/>
    <w:rsid w:val="001B07C7"/>
    <w:rsid w:val="001B3C2F"/>
    <w:rsid w:val="001B6A43"/>
    <w:rsid w:val="001D37B5"/>
    <w:rsid w:val="001D45C3"/>
    <w:rsid w:val="001D7733"/>
    <w:rsid w:val="001F56C5"/>
    <w:rsid w:val="00212C49"/>
    <w:rsid w:val="002133B8"/>
    <w:rsid w:val="00273129"/>
    <w:rsid w:val="002770FE"/>
    <w:rsid w:val="00280162"/>
    <w:rsid w:val="002967A8"/>
    <w:rsid w:val="002B602D"/>
    <w:rsid w:val="002E3869"/>
    <w:rsid w:val="002E7D7C"/>
    <w:rsid w:val="00305C74"/>
    <w:rsid w:val="0031442C"/>
    <w:rsid w:val="00323285"/>
    <w:rsid w:val="0035472F"/>
    <w:rsid w:val="00385DD1"/>
    <w:rsid w:val="003C6C1D"/>
    <w:rsid w:val="003D006F"/>
    <w:rsid w:val="003E0486"/>
    <w:rsid w:val="003E48AE"/>
    <w:rsid w:val="003F33B8"/>
    <w:rsid w:val="003F7D8A"/>
    <w:rsid w:val="00431E89"/>
    <w:rsid w:val="00441A77"/>
    <w:rsid w:val="004512C5"/>
    <w:rsid w:val="00475FE7"/>
    <w:rsid w:val="004B2CA8"/>
    <w:rsid w:val="004C0AA9"/>
    <w:rsid w:val="004D5989"/>
    <w:rsid w:val="004E25E9"/>
    <w:rsid w:val="004F6030"/>
    <w:rsid w:val="00555AA8"/>
    <w:rsid w:val="00574F92"/>
    <w:rsid w:val="00584116"/>
    <w:rsid w:val="005912F5"/>
    <w:rsid w:val="005D7814"/>
    <w:rsid w:val="00615904"/>
    <w:rsid w:val="006275EC"/>
    <w:rsid w:val="00691A4C"/>
    <w:rsid w:val="006A3414"/>
    <w:rsid w:val="006C17FE"/>
    <w:rsid w:val="007055C3"/>
    <w:rsid w:val="00707159"/>
    <w:rsid w:val="00731612"/>
    <w:rsid w:val="007440B1"/>
    <w:rsid w:val="007855B3"/>
    <w:rsid w:val="00787311"/>
    <w:rsid w:val="00787D0F"/>
    <w:rsid w:val="007938C3"/>
    <w:rsid w:val="007B705E"/>
    <w:rsid w:val="007F17AC"/>
    <w:rsid w:val="0082258E"/>
    <w:rsid w:val="00880018"/>
    <w:rsid w:val="00883E3D"/>
    <w:rsid w:val="008875D2"/>
    <w:rsid w:val="008A61D2"/>
    <w:rsid w:val="008B2016"/>
    <w:rsid w:val="008C5C13"/>
    <w:rsid w:val="008E2879"/>
    <w:rsid w:val="008E4788"/>
    <w:rsid w:val="009176AF"/>
    <w:rsid w:val="0093041B"/>
    <w:rsid w:val="009328B3"/>
    <w:rsid w:val="0098085F"/>
    <w:rsid w:val="00985509"/>
    <w:rsid w:val="00997DCA"/>
    <w:rsid w:val="00A11880"/>
    <w:rsid w:val="00A24AF1"/>
    <w:rsid w:val="00A33A0B"/>
    <w:rsid w:val="00A35672"/>
    <w:rsid w:val="00A64930"/>
    <w:rsid w:val="00A917A7"/>
    <w:rsid w:val="00AF75C1"/>
    <w:rsid w:val="00B062D7"/>
    <w:rsid w:val="00B170D4"/>
    <w:rsid w:val="00B340AC"/>
    <w:rsid w:val="00C044D7"/>
    <w:rsid w:val="00C05C34"/>
    <w:rsid w:val="00C14E64"/>
    <w:rsid w:val="00C30241"/>
    <w:rsid w:val="00C347E6"/>
    <w:rsid w:val="00C420AA"/>
    <w:rsid w:val="00C477EB"/>
    <w:rsid w:val="00C66B02"/>
    <w:rsid w:val="00C735AF"/>
    <w:rsid w:val="00CB6105"/>
    <w:rsid w:val="00CE13DE"/>
    <w:rsid w:val="00D03057"/>
    <w:rsid w:val="00D040CA"/>
    <w:rsid w:val="00D213FE"/>
    <w:rsid w:val="00D27C76"/>
    <w:rsid w:val="00D36A99"/>
    <w:rsid w:val="00D4513F"/>
    <w:rsid w:val="00D568B4"/>
    <w:rsid w:val="00D90C36"/>
    <w:rsid w:val="00D93FD5"/>
    <w:rsid w:val="00DD4B6F"/>
    <w:rsid w:val="00DF03CA"/>
    <w:rsid w:val="00DF29A7"/>
    <w:rsid w:val="00E87378"/>
    <w:rsid w:val="00EB6089"/>
    <w:rsid w:val="00ED1A7E"/>
    <w:rsid w:val="00ED78C0"/>
    <w:rsid w:val="00EF0E59"/>
    <w:rsid w:val="00F01090"/>
    <w:rsid w:val="00F55510"/>
    <w:rsid w:val="00F648C6"/>
    <w:rsid w:val="00F74559"/>
    <w:rsid w:val="00F748B8"/>
    <w:rsid w:val="00F82E57"/>
    <w:rsid w:val="00F92056"/>
    <w:rsid w:val="00F93374"/>
    <w:rsid w:val="00F96D41"/>
    <w:rsid w:val="00FA4EBA"/>
    <w:rsid w:val="00FC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56B28"/>
  <w15:docId w15:val="{E619E2EC-97B3-4531-98B5-D0B6AB77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paragraph" w:styleId="Heading1">
    <w:name w:val="heading 1"/>
    <w:basedOn w:val="Normal"/>
    <w:link w:val="Heading1Char"/>
    <w:uiPriority w:val="9"/>
    <w:qFormat/>
    <w:rsid w:val="00DD4B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75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75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75C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C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C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C1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84116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7938C3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7938C3"/>
    <w:rPr>
      <w:rFonts w:ascii="Corbel" w:hAnsi="Corbe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5C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C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C34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C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C3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D4B6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B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9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t.gov.au/industry/mining-and-petroleum/mineral-titles/about-mineral-titles/summary-of-mineral-title-types-conditions-and-fe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t.gov.au/industry/mining-and-petroleum/mineral-titles/mineral-title-fees-and-rent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t.gov.au/__data/assets/pdf_file/0013/203305/schedule-of-mineral-titles-fees-and-rent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CFE5C5-E676-4514-9BF0-8C611DC31856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5380140D-3FA1-4C41-BA96-CEF3AC6B6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27C691-B884-479D-B931-6BB10B088B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27BE15-A34D-42F2-B5B2-566021B43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Burnett</dc:creator>
  <cp:lastModifiedBy>Annamarie Desfosses</cp:lastModifiedBy>
  <cp:revision>4</cp:revision>
  <cp:lastPrinted>2014-03-26T07:25:00Z</cp:lastPrinted>
  <dcterms:created xsi:type="dcterms:W3CDTF">2024-10-10T05:58:00Z</dcterms:created>
  <dcterms:modified xsi:type="dcterms:W3CDTF">2024-10-10T05:59:00Z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